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rPr/>
      </w:pPr>
      <w:r w:rsidDel="00000000" w:rsidR="00000000" w:rsidRPr="00000000">
        <w:rPr>
          <w:rtl w:val="0"/>
        </w:rPr>
        <w:t xml:space="preserve">Since the last consultation closed, Sheffield City Council has issued more than 100 new EXAM documents, with over 70 now requiring comment. Residents have been given only a three-week window - during one of the busiest periods of the year - to review and respond. This is not meaningful public engagement. These proposals have major implications for S13, yet key evidence has surfaced only after repeated pressure, and the timescale for responding is completely unreasonable.</w:t>
      </w:r>
    </w:p>
    <w:p w:rsidR="00000000" w:rsidDel="00000000" w:rsidP="00000000" w:rsidRDefault="00000000" w:rsidRPr="00000000" w14:paraId="00000017">
      <w:pPr>
        <w:spacing w:after="200" w:lineRule="auto"/>
        <w:ind w:left="141.73228346456688" w:firstLine="0"/>
        <w:rPr/>
      </w:pPr>
      <w:r w:rsidDel="00000000" w:rsidR="00000000" w:rsidRPr="00000000">
        <w:rPr>
          <w:rtl w:val="0"/>
        </w:rPr>
        <w:t xml:space="preserve">Even so, I am submitting comments so that silence cannot be taken as agreement. My response is made despite the flaws in the process, and reflects genuine concern about the impact these proposals would have on our community.</w:t>
      </w:r>
    </w:p>
    <w:p w:rsidR="00000000" w:rsidDel="00000000" w:rsidP="00000000" w:rsidRDefault="00000000" w:rsidRPr="00000000" w14:paraId="00000018">
      <w:pPr>
        <w:spacing w:after="200" w:lineRule="auto"/>
        <w:ind w:left="141.73228346456688" w:firstLine="0"/>
        <w:rPr/>
      </w:pPr>
      <w:r w:rsidDel="00000000" w:rsidR="00000000" w:rsidRPr="00000000">
        <w:rPr>
          <w:b w:val="1"/>
          <w:bCs w:val="1"/>
          <w:rtl w:val="0"/>
        </w:rPr>
        <w:t xml:space="preserve">EXAM 4Bi</w:t>
      </w:r>
      <w:r w:rsidDel="00000000" w:rsidR="00000000" w:rsidRPr="00000000">
        <w:rPr>
          <w:rtl w:val="0"/>
        </w:rPr>
        <w:t xml:space="preserve"> is the only Statement of Common Ground between Sheffield City Council and Historic England covering the additional allocations. Yet SES29 is missing entirely, meaning there is no shared heritage position with the statutory consultee. This is serious because no Heritage Impact Assessment exists: </w:t>
      </w:r>
      <w:r w:rsidDel="00000000" w:rsidR="00000000" w:rsidRPr="00000000">
        <w:rPr>
          <w:b w:val="1"/>
          <w:bCs w:val="1"/>
          <w:rtl w:val="0"/>
        </w:rPr>
        <w:t xml:space="preserve">EXAM 127</w:t>
      </w:r>
      <w:r w:rsidDel="00000000" w:rsidR="00000000" w:rsidRPr="00000000">
        <w:rPr>
          <w:rtl w:val="0"/>
        </w:rPr>
        <w:t xml:space="preserve"> and </w:t>
      </w:r>
      <w:r w:rsidDel="00000000" w:rsidR="00000000" w:rsidRPr="00000000">
        <w:rPr>
          <w:b w:val="1"/>
          <w:bCs w:val="1"/>
          <w:rtl w:val="0"/>
        </w:rPr>
        <w:t xml:space="preserve">EXAM 127A</w:t>
      </w:r>
      <w:r w:rsidDel="00000000" w:rsidR="00000000" w:rsidRPr="00000000">
        <w:rPr>
          <w:rtl w:val="0"/>
        </w:rPr>
        <w:t xml:space="preserve"> confirm the only evidence is a 2015 archaeology scoping note, which does not meet the NPPF requirement for relevant and up-to-date evidence.</w:t>
      </w:r>
    </w:p>
    <w:p w:rsidR="00000000" w:rsidDel="00000000" w:rsidP="00000000" w:rsidRDefault="00000000" w:rsidRPr="00000000" w14:paraId="00000019">
      <w:pPr>
        <w:spacing w:after="200" w:lineRule="auto"/>
        <w:ind w:left="141.73228346456688" w:firstLine="0"/>
        <w:rPr/>
      </w:pPr>
      <w:r w:rsidDel="00000000" w:rsidR="00000000" w:rsidRPr="00000000">
        <w:rPr>
          <w:b w:val="1"/>
          <w:bCs w:val="1"/>
          <w:rtl w:val="0"/>
        </w:rPr>
        <w:t xml:space="preserve">EXAM 130</w:t>
      </w:r>
      <w:r w:rsidDel="00000000" w:rsidR="00000000" w:rsidRPr="00000000">
        <w:rPr>
          <w:rtl w:val="0"/>
        </w:rPr>
        <w:t xml:space="preserve"> acknowledges archaeology constraints but defers investigation until the planning application stage, contrary to national policy and Historic England guidance, which require significance to be assessed during plan-making. Meanwhile, the South Yorkshire Sites and Monuments Record confirms actual archaeological assets within SES29, meaning the heritage issues are real rather than theoretical.</w:t>
      </w:r>
    </w:p>
    <w:p w:rsidR="00000000" w:rsidDel="00000000" w:rsidP="00000000" w:rsidRDefault="00000000" w:rsidRPr="00000000" w14:paraId="0000001A">
      <w:pPr>
        <w:spacing w:after="200" w:lineRule="auto"/>
        <w:ind w:left="141.73228346456688" w:firstLine="0"/>
        <w:rPr/>
      </w:pPr>
      <w:r w:rsidDel="00000000" w:rsidR="00000000" w:rsidRPr="00000000">
        <w:rPr>
          <w:rtl w:val="0"/>
        </w:rPr>
        <w:t xml:space="preserve">The lack of an HIA, no joint SCC–Historic England position, the reliance on outdated evidence, and the presence of known archaeological assets mean the heritage baseline for SES29 is incomplete and unreliable. These gaps cannot be remedied through modification at this stage. SES29 has not been properly assessed and should be removed from the Plan.</w:t>
      </w:r>
      <w:r w:rsidDel="00000000" w:rsidR="00000000" w:rsidRPr="00000000">
        <w:rPr>
          <w:rtl w:val="0"/>
        </w:rPr>
      </w:r>
    </w:p>
    <w:p w:rsidR="00000000" w:rsidDel="00000000" w:rsidP="00000000" w:rsidRDefault="00000000" w:rsidRPr="00000000" w14:paraId="0000001B">
      <w:pPr>
        <w:spacing w:after="200" w:lineRule="auto"/>
        <w:ind w:left="141.73228346456688" w:firstLine="0"/>
        <w:rPr/>
      </w:pPr>
      <w:r w:rsidDel="00000000" w:rsidR="00000000" w:rsidRPr="00000000">
        <w:rPr>
          <w:rtl w:val="0"/>
        </w:rPr>
        <w:t xml:space="preserve">.</w:t>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1E">
            <w:pPr>
              <w:spacing w:line="240" w:lineRule="auto"/>
              <w:ind w:left="0" w:firstLine="0"/>
              <w:jc w:val="both"/>
              <w:rPr/>
            </w:pPr>
            <w:r w:rsidDel="00000000" w:rsidR="00000000" w:rsidRPr="00000000">
              <w:rPr>
                <w:rtl w:val="0"/>
              </w:rPr>
            </w:r>
          </w:p>
          <w:p w:rsidR="00000000" w:rsidDel="00000000" w:rsidP="00000000" w:rsidRDefault="00000000" w:rsidRPr="00000000" w14:paraId="0000001F">
            <w:pPr>
              <w:spacing w:line="240" w:lineRule="auto"/>
              <w:ind w:left="0" w:firstLine="0"/>
              <w:jc w:val="both"/>
              <w:rPr/>
            </w:pPr>
            <w:r w:rsidDel="00000000" w:rsidR="00000000" w:rsidRPr="00000000">
              <w:rPr>
                <w:rtl w:val="0"/>
              </w:rPr>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2">
      <w:pPr>
        <w:ind w:left="0" w:firstLine="0"/>
        <w:jc w:val="both"/>
        <w:rPr/>
      </w:pPr>
      <w:r w:rsidDel="00000000" w:rsidR="00000000" w:rsidRPr="00000000">
        <w:rPr>
          <w:rtl w:val="0"/>
        </w:rPr>
      </w:r>
    </w:p>
    <w:sectPr>
      <w:pgSz w:h="16838" w:w="11906" w:orient="portrait"/>
      <w:pgMar w:bottom="850.3937007874016"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